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66A4" w:rsidRDefault="004520F2">
      <w:pPr>
        <w:jc w:val="center"/>
      </w:pPr>
      <w:r>
        <w:rPr>
          <w:b/>
          <w:sz w:val="32"/>
        </w:rPr>
        <w:t>K-12 &amp; Mt. SAC Regional Consortium</w:t>
      </w:r>
    </w:p>
    <w:p w:rsidR="00D866A4" w:rsidRDefault="004520F2">
      <w:pPr>
        <w:jc w:val="center"/>
      </w:pPr>
      <w:r>
        <w:rPr>
          <w:b/>
          <w:sz w:val="32"/>
        </w:rPr>
        <w:t>Meeting Agenda</w:t>
      </w:r>
    </w:p>
    <w:p w:rsidR="00D866A4" w:rsidRDefault="004520F2">
      <w:pPr>
        <w:jc w:val="center"/>
      </w:pPr>
      <w:r>
        <w:rPr>
          <w:b/>
          <w:sz w:val="10"/>
        </w:rPr>
        <w:t xml:space="preserve"> </w:t>
      </w:r>
    </w:p>
    <w:p w:rsidR="00D866A4" w:rsidRDefault="004520F2">
      <w:pPr>
        <w:jc w:val="center"/>
      </w:pPr>
      <w:r>
        <w:t>July 24, 2014</w:t>
      </w:r>
    </w:p>
    <w:p w:rsidR="00D866A4" w:rsidRDefault="004520F2">
      <w:pPr>
        <w:jc w:val="center"/>
      </w:pPr>
      <w:r>
        <w:t>12:30 p.m. – 2:30 p.m.</w:t>
      </w:r>
    </w:p>
    <w:p w:rsidR="00D866A4" w:rsidRDefault="004520F2">
      <w:pPr>
        <w:jc w:val="center"/>
      </w:pPr>
      <w:r>
        <w:t>Mt. SAC Building 40, Room 103</w:t>
      </w:r>
    </w:p>
    <w:p w:rsidR="00D866A4" w:rsidRDefault="004520F2">
      <w:pPr>
        <w:jc w:val="center"/>
      </w:pPr>
      <w:r>
        <w:t xml:space="preserve"> </w:t>
      </w:r>
    </w:p>
    <w:tbl>
      <w:tblPr>
        <w:tblStyle w:val="a"/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5"/>
        <w:gridCol w:w="1342"/>
        <w:gridCol w:w="498"/>
        <w:gridCol w:w="1585"/>
        <w:gridCol w:w="498"/>
        <w:gridCol w:w="1631"/>
        <w:gridCol w:w="1515"/>
        <w:gridCol w:w="1800"/>
      </w:tblGrid>
      <w:tr w:rsidR="00D866A4" w:rsidTr="00385E52">
        <w:trPr>
          <w:trHeight w:val="55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ind w:left="-44"/>
              <w:rPr>
                <w:sz w:val="20"/>
              </w:rPr>
            </w:pPr>
            <w:r w:rsidRPr="00385E52">
              <w:rPr>
                <w:sz w:val="20"/>
              </w:rPr>
              <w:t>Baldwin Park</w:t>
            </w:r>
          </w:p>
          <w:p w:rsidR="00385E52" w:rsidRPr="00385E52" w:rsidRDefault="00385E52">
            <w:pPr>
              <w:ind w:left="-44"/>
              <w:rPr>
                <w:sz w:val="20"/>
              </w:rPr>
            </w:pPr>
            <w:r w:rsidRPr="00385E52">
              <w:rPr>
                <w:sz w:val="20"/>
              </w:rPr>
              <w:t>(John Kerr)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>Charter Oak</w:t>
            </w:r>
          </w:p>
          <w:p w:rsidR="00385E52" w:rsidRPr="00385E52" w:rsidRDefault="00385E5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>(Eric Martinez)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rPr>
                <w:sz w:val="20"/>
              </w:rPr>
            </w:pPr>
            <w:r w:rsidRPr="00385E52">
              <w:rPr>
                <w:sz w:val="20"/>
              </w:rPr>
              <w:t>Mt. San Antonio</w:t>
            </w:r>
          </w:p>
          <w:p w:rsidR="00385E52" w:rsidRPr="00385E52" w:rsidRDefault="00385E52">
            <w:pPr>
              <w:rPr>
                <w:sz w:val="20"/>
              </w:rPr>
            </w:pPr>
            <w:r w:rsidRPr="00385E52">
              <w:rPr>
                <w:sz w:val="20"/>
              </w:rPr>
              <w:t>(Donna Burns)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5E52" w:rsidRDefault="004520F2">
            <w:pPr>
              <w:ind w:left="165"/>
            </w:pPr>
            <w:r>
              <w:t xml:space="preserve"> </w:t>
            </w:r>
          </w:p>
          <w:p w:rsidR="00D866A4" w:rsidRPr="00385E52" w:rsidRDefault="00D866A4" w:rsidP="00385E52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66A4" w:rsidRDefault="004520F2">
            <w:r>
              <w:rPr>
                <w:sz w:val="20"/>
              </w:rPr>
              <w:t>Walnut Valley</w:t>
            </w:r>
          </w:p>
        </w:tc>
      </w:tr>
      <w:tr w:rsidR="00D866A4" w:rsidTr="00385E52">
        <w:trPr>
          <w:trHeight w:val="1340"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ind w:left="-44"/>
              <w:rPr>
                <w:sz w:val="20"/>
              </w:rPr>
            </w:pPr>
            <w:r w:rsidRPr="00385E52">
              <w:rPr>
                <w:sz w:val="20"/>
              </w:rPr>
              <w:t>Bassett</w:t>
            </w:r>
          </w:p>
          <w:p w:rsidR="00385E52" w:rsidRPr="00385E52" w:rsidRDefault="00385E52">
            <w:pPr>
              <w:ind w:left="-44"/>
              <w:rPr>
                <w:sz w:val="20"/>
              </w:rPr>
            </w:pPr>
            <w:r w:rsidRPr="00385E52">
              <w:rPr>
                <w:sz w:val="20"/>
              </w:rPr>
              <w:t xml:space="preserve">(Albert Michel, Virginia </w:t>
            </w:r>
            <w:proofErr w:type="spellStart"/>
            <w:r w:rsidRPr="00385E52">
              <w:rPr>
                <w:sz w:val="20"/>
              </w:rPr>
              <w:t>Espana</w:t>
            </w:r>
            <w:proofErr w:type="spellEnd"/>
            <w:r w:rsidRPr="00385E52">
              <w:rPr>
                <w:sz w:val="20"/>
              </w:rPr>
              <w:t>)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>Covina Valley</w:t>
            </w:r>
          </w:p>
          <w:p w:rsidR="00385E52" w:rsidRPr="00385E52" w:rsidRDefault="00385E5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 xml:space="preserve">(Claudia </w:t>
            </w:r>
            <w:proofErr w:type="spellStart"/>
            <w:r w:rsidRPr="00385E52">
              <w:rPr>
                <w:sz w:val="20"/>
              </w:rPr>
              <w:t>Karnoski</w:t>
            </w:r>
            <w:proofErr w:type="spellEnd"/>
            <w:r w:rsidRPr="00385E52">
              <w:rPr>
                <w:sz w:val="20"/>
              </w:rPr>
              <w:t xml:space="preserve">, Dan </w:t>
            </w:r>
            <w:proofErr w:type="spellStart"/>
            <w:r w:rsidRPr="00385E52">
              <w:rPr>
                <w:sz w:val="20"/>
              </w:rPr>
              <w:t>Gribbon</w:t>
            </w:r>
            <w:proofErr w:type="spellEnd"/>
            <w:r w:rsidRPr="00385E52">
              <w:rPr>
                <w:sz w:val="20"/>
              </w:rPr>
              <w:t>)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D866A4">
            <w:pPr>
              <w:ind w:left="-439"/>
              <w:rPr>
                <w:sz w:val="20"/>
              </w:rPr>
            </w:pPr>
          </w:p>
        </w:tc>
        <w:tc>
          <w:tcPr>
            <w:tcW w:w="16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rPr>
                <w:sz w:val="20"/>
              </w:rPr>
            </w:pPr>
            <w:r w:rsidRPr="00385E52">
              <w:rPr>
                <w:sz w:val="20"/>
              </w:rPr>
              <w:t>Pomona</w:t>
            </w:r>
          </w:p>
          <w:p w:rsidR="00385E52" w:rsidRPr="00385E52" w:rsidRDefault="00385E52">
            <w:pPr>
              <w:rPr>
                <w:sz w:val="20"/>
              </w:rPr>
            </w:pPr>
            <w:r w:rsidRPr="00385E52">
              <w:rPr>
                <w:sz w:val="20"/>
              </w:rPr>
              <w:t xml:space="preserve">(Rebecca </w:t>
            </w:r>
            <w:r w:rsidR="0036321E">
              <w:rPr>
                <w:sz w:val="20"/>
              </w:rPr>
              <w:t>Cristobal)</w:t>
            </w:r>
            <w:bookmarkStart w:id="0" w:name="_GoBack"/>
            <w:bookmarkEnd w:id="0"/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66A4" w:rsidRDefault="004520F2">
            <w:pPr>
              <w:ind w:left="-14"/>
            </w:pPr>
            <w:r>
              <w:rPr>
                <w:sz w:val="18"/>
              </w:rPr>
              <w:t>Partners present:</w:t>
            </w:r>
          </w:p>
          <w:p w:rsidR="00D866A4" w:rsidRDefault="004520F2">
            <w:pPr>
              <w:ind w:left="165"/>
            </w:pPr>
            <w:r>
              <w:rPr>
                <w:sz w:val="18"/>
              </w:rPr>
              <w:t xml:space="preserve"> </w:t>
            </w:r>
          </w:p>
          <w:p w:rsidR="00D866A4" w:rsidRDefault="004520F2">
            <w:pPr>
              <w:ind w:left="16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D866A4">
            <w:pPr>
              <w:ind w:left="-439"/>
            </w:pPr>
          </w:p>
        </w:tc>
      </w:tr>
      <w:tr w:rsidR="00D866A4"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D866A4">
            <w:pPr>
              <w:ind w:left="-439"/>
              <w:rPr>
                <w:sz w:val="20"/>
              </w:rPr>
            </w:pPr>
          </w:p>
        </w:tc>
        <w:tc>
          <w:tcPr>
            <w:tcW w:w="13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ind w:left="-44"/>
              <w:rPr>
                <w:sz w:val="20"/>
              </w:rPr>
            </w:pPr>
            <w:r w:rsidRPr="00385E52">
              <w:rPr>
                <w:sz w:val="20"/>
              </w:rPr>
              <w:t>Bonita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385E5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>Hacienda L</w:t>
            </w:r>
            <w:r w:rsidR="004520F2" w:rsidRPr="00385E52">
              <w:rPr>
                <w:sz w:val="20"/>
              </w:rPr>
              <w:t>a Puente</w:t>
            </w:r>
          </w:p>
          <w:p w:rsidR="00385E52" w:rsidRPr="00385E52" w:rsidRDefault="00385E52">
            <w:pPr>
              <w:ind w:left="-74"/>
              <w:rPr>
                <w:sz w:val="20"/>
              </w:rPr>
            </w:pPr>
            <w:r w:rsidRPr="00385E52">
              <w:rPr>
                <w:sz w:val="20"/>
              </w:rPr>
              <w:t>(Elena Paul, Matt Smith, Bruce Krall)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E52" w:rsidRPr="00385E52" w:rsidRDefault="00385E52">
            <w:pPr>
              <w:ind w:left="-439"/>
              <w:rPr>
                <w:sz w:val="20"/>
              </w:rPr>
            </w:pPr>
          </w:p>
          <w:p w:rsidR="00D866A4" w:rsidRPr="00385E52" w:rsidRDefault="00385E52" w:rsidP="00385E52">
            <w:pPr>
              <w:rPr>
                <w:sz w:val="20"/>
              </w:rPr>
            </w:pPr>
            <w:r w:rsidRPr="00385E52">
              <w:rPr>
                <w:sz w:val="20"/>
              </w:rPr>
              <w:t>X</w:t>
            </w:r>
          </w:p>
        </w:tc>
        <w:tc>
          <w:tcPr>
            <w:tcW w:w="16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Pr="00385E52" w:rsidRDefault="004520F2">
            <w:pPr>
              <w:rPr>
                <w:sz w:val="20"/>
              </w:rPr>
            </w:pPr>
            <w:r w:rsidRPr="00385E52">
              <w:rPr>
                <w:sz w:val="20"/>
              </w:rPr>
              <w:t>Rowland</w:t>
            </w:r>
          </w:p>
          <w:p w:rsidR="00385E52" w:rsidRPr="00385E52" w:rsidRDefault="00385E52">
            <w:pPr>
              <w:rPr>
                <w:sz w:val="20"/>
              </w:rPr>
            </w:pPr>
            <w:r w:rsidRPr="00385E52">
              <w:rPr>
                <w:sz w:val="20"/>
              </w:rPr>
              <w:t xml:space="preserve">(Rocky </w:t>
            </w:r>
            <w:proofErr w:type="spellStart"/>
            <w:r w:rsidRPr="00385E52">
              <w:rPr>
                <w:sz w:val="20"/>
              </w:rPr>
              <w:t>Bettar</w:t>
            </w:r>
            <w:proofErr w:type="spellEnd"/>
            <w:r w:rsidRPr="00385E52">
              <w:rPr>
                <w:sz w:val="20"/>
              </w:rPr>
              <w:t>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D866A4">
            <w:pPr>
              <w:ind w:left="-439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D866A4">
            <w:pPr>
              <w:ind w:left="-439"/>
            </w:pPr>
          </w:p>
        </w:tc>
      </w:tr>
    </w:tbl>
    <w:p w:rsidR="00D866A4" w:rsidRDefault="004520F2">
      <w:r>
        <w:rPr>
          <w:b/>
        </w:rPr>
        <w:t xml:space="preserve"> </w:t>
      </w:r>
    </w:p>
    <w:p w:rsidR="00D866A4" w:rsidRDefault="004520F2">
      <w:r>
        <w:rPr>
          <w:b/>
        </w:rPr>
        <w:t xml:space="preserve"> </w:t>
      </w:r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3"/>
        <w:gridCol w:w="6327"/>
      </w:tblGrid>
      <w:tr w:rsidR="00D866A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pPr>
              <w:jc w:val="center"/>
            </w:pPr>
            <w:r>
              <w:rPr>
                <w:b/>
                <w:highlight w:val="black"/>
              </w:rPr>
              <w:t>Agenda Items</w:t>
            </w:r>
          </w:p>
        </w:tc>
        <w:tc>
          <w:tcPr>
            <w:tcW w:w="6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pPr>
              <w:jc w:val="center"/>
            </w:pPr>
            <w:r>
              <w:rPr>
                <w:b/>
                <w:highlight w:val="black"/>
              </w:rPr>
              <w:t>Outcomes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r>
              <w:t>Welcome &amp; Agenda Check</w:t>
            </w:r>
          </w:p>
          <w:p w:rsidR="00D866A4" w:rsidRDefault="004520F2">
            <w:r>
              <w:t xml:space="preserve"> 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 w:rsidP="00385E52">
            <w:r>
              <w:t xml:space="preserve"> </w:t>
            </w:r>
            <w:r w:rsidR="00385E52">
              <w:t xml:space="preserve">Agenda confirmed.  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r>
              <w:t>Minutes of 6/12/2014</w:t>
            </w:r>
          </w:p>
          <w:p w:rsidR="00D866A4" w:rsidRDefault="004520F2">
            <w:r>
              <w:t xml:space="preserve"> 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r>
              <w:t xml:space="preserve"> </w:t>
            </w:r>
            <w:r w:rsidR="00385E52">
              <w:t>Minutes approved with no corrections.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pPr>
              <w:ind w:left="-19"/>
            </w:pPr>
            <w:r>
              <w:t>Status Check: Update on Task Groups (Wanda)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385E52">
            <w:r>
              <w:t xml:space="preserve">Wanda shared that all Task Groups had completed work on </w:t>
            </w:r>
            <w:proofErr w:type="spellStart"/>
            <w:r>
              <w:t>Obj</w:t>
            </w:r>
            <w:proofErr w:type="spellEnd"/>
            <w:r>
              <w:t xml:space="preserve"> 1</w:t>
            </w:r>
            <w:proofErr w:type="gramStart"/>
            <w:r>
              <w:t>,2,3</w:t>
            </w:r>
            <w:proofErr w:type="gramEnd"/>
            <w:r>
              <w:t xml:space="preserve"> and </w:t>
            </w:r>
            <w:r w:rsidR="004520F2">
              <w:t>were moving ahead on the next set of objective. Omi has</w:t>
            </w:r>
            <w:r>
              <w:t xml:space="preserve"> completed</w:t>
            </w:r>
            <w:r w:rsidR="00FA7E02">
              <w:t xml:space="preserve"> the Narrative</w:t>
            </w:r>
            <w:r w:rsidR="004520F2">
              <w:t xml:space="preserve"> for </w:t>
            </w:r>
            <w:proofErr w:type="spellStart"/>
            <w:r w:rsidR="004520F2">
              <w:t>Obj</w:t>
            </w:r>
            <w:proofErr w:type="spellEnd"/>
            <w:r w:rsidR="004520F2">
              <w:t xml:space="preserve"> 1</w:t>
            </w:r>
            <w:proofErr w:type="gramStart"/>
            <w:r w:rsidR="004520F2">
              <w:t>,2,3</w:t>
            </w:r>
            <w:proofErr w:type="gramEnd"/>
            <w:r w:rsidR="004520F2">
              <w:t xml:space="preserve"> with input from all groups.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02" w:rsidRDefault="00FA7E02" w:rsidP="00FA7E02">
            <w:pPr>
              <w:pStyle w:val="ListParagraph"/>
              <w:numPr>
                <w:ilvl w:val="0"/>
                <w:numId w:val="1"/>
              </w:numPr>
            </w:pPr>
            <w:r>
              <w:t>Review of Narrative Draft of Obj.</w:t>
            </w:r>
            <w:r w:rsidR="004520F2">
              <w:t>1,2,4</w:t>
            </w:r>
          </w:p>
          <w:p w:rsidR="00385E52" w:rsidRDefault="00385E52" w:rsidP="00FA7E02">
            <w:pPr>
              <w:pStyle w:val="ListParagraph"/>
              <w:numPr>
                <w:ilvl w:val="0"/>
                <w:numId w:val="1"/>
              </w:numPr>
            </w:pPr>
            <w:r>
              <w:t>Timeline for remaining</w:t>
            </w:r>
            <w:r w:rsidR="00FA7E02">
              <w:t xml:space="preserve"> </w:t>
            </w:r>
            <w:proofErr w:type="spellStart"/>
            <w:r w:rsidR="00FA7E02">
              <w:t>obj</w:t>
            </w:r>
            <w:proofErr w:type="spellEnd"/>
          </w:p>
          <w:p w:rsidR="00D866A4" w:rsidRDefault="004520F2" w:rsidP="00FA7E02">
            <w:pPr>
              <w:pStyle w:val="ListParagraph"/>
              <w:numPr>
                <w:ilvl w:val="0"/>
                <w:numId w:val="1"/>
              </w:numPr>
            </w:pPr>
            <w:r>
              <w:t xml:space="preserve">Hourly Allocation: Do we need to increase time allocation to complete remaining </w:t>
            </w:r>
            <w:r>
              <w:lastRenderedPageBreak/>
              <w:t>objectives?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E02" w:rsidRPr="00A01E77" w:rsidRDefault="00FA7E02" w:rsidP="00FA7E0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lastRenderedPageBreak/>
              <w:t xml:space="preserve">Discussion on the need to address programs for older adults and parent </w:t>
            </w:r>
            <w:proofErr w:type="spellStart"/>
            <w:proofErr w:type="gramStart"/>
            <w:r>
              <w:t>ed</w:t>
            </w:r>
            <w:proofErr w:type="spellEnd"/>
            <w:proofErr w:type="gramEnd"/>
            <w:r>
              <w:t xml:space="preserve"> even though they are not covered by AB 86</w:t>
            </w:r>
            <w:r w:rsidRPr="00A01E77">
              <w:rPr>
                <w:i/>
              </w:rPr>
              <w:t xml:space="preserve">.  Decision to add a general statement of need in </w:t>
            </w:r>
            <w:proofErr w:type="spellStart"/>
            <w:r w:rsidRPr="00A01E77">
              <w:rPr>
                <w:i/>
              </w:rPr>
              <w:t>Obj</w:t>
            </w:r>
            <w:proofErr w:type="spellEnd"/>
            <w:r w:rsidRPr="00A01E77">
              <w:rPr>
                <w:i/>
              </w:rPr>
              <w:t xml:space="preserve"> 2 and 4 without going into detail.</w:t>
            </w:r>
          </w:p>
          <w:p w:rsidR="00FA7E02" w:rsidRDefault="00FA7E02" w:rsidP="00FA7E02">
            <w:pPr>
              <w:pStyle w:val="ListParagraph"/>
              <w:numPr>
                <w:ilvl w:val="0"/>
                <w:numId w:val="1"/>
              </w:numPr>
            </w:pPr>
            <w:r>
              <w:t>Reviewed the timeline and made the following changes:</w:t>
            </w:r>
          </w:p>
          <w:p w:rsidR="00FA7E02" w:rsidRDefault="00A01E77" w:rsidP="00A01E77">
            <w:pPr>
              <w:pStyle w:val="ListParagraph"/>
            </w:pPr>
            <w:r>
              <w:t>-</w:t>
            </w:r>
            <w:r w:rsidR="00FA7E02">
              <w:t>Aug 14 Steering Committee changed to Aug 21 at 2:00</w:t>
            </w:r>
          </w:p>
          <w:p w:rsidR="00FA7E02" w:rsidRDefault="00A01E77" w:rsidP="00A01E77">
            <w:pPr>
              <w:pStyle w:val="ListParagraph"/>
            </w:pPr>
            <w:r>
              <w:lastRenderedPageBreak/>
              <w:t>-</w:t>
            </w:r>
            <w:r w:rsidR="00FA7E02">
              <w:t>Sep 1</w:t>
            </w:r>
            <w:r w:rsidR="004520F2">
              <w:t>1 Steering Committee changed</w:t>
            </w:r>
            <w:r w:rsidR="00FA7E02">
              <w:t xml:space="preserve"> to Sept 9 at 9:00</w:t>
            </w:r>
          </w:p>
          <w:p w:rsidR="00FA7E02" w:rsidRDefault="00FA7E02" w:rsidP="00FA7E02">
            <w:pPr>
              <w:pStyle w:val="ListParagraph"/>
              <w:numPr>
                <w:ilvl w:val="0"/>
                <w:numId w:val="1"/>
              </w:numPr>
            </w:pPr>
            <w:r>
              <w:t>Wanda shared that some member</w:t>
            </w:r>
            <w:r w:rsidR="00A01E77">
              <w:t>s</w:t>
            </w:r>
            <w:r>
              <w:t xml:space="preserve"> of </w:t>
            </w:r>
            <w:r w:rsidR="00A01E77">
              <w:t xml:space="preserve">the </w:t>
            </w:r>
            <w:r>
              <w:t>Task Group</w:t>
            </w:r>
            <w:r w:rsidR="00A01E77">
              <w:t>s</w:t>
            </w:r>
            <w:r>
              <w:t xml:space="preserve"> have already used most of the</w:t>
            </w:r>
            <w:r w:rsidR="004520F2">
              <w:t>ir</w:t>
            </w:r>
            <w:r>
              <w:t xml:space="preserve"> allocated hours.  </w:t>
            </w:r>
            <w:r w:rsidRPr="00FA7E02">
              <w:rPr>
                <w:i/>
              </w:rPr>
              <w:t>Rocky moved that that we remove the hourly allocation and allow districts to use the funds as they see fit.  Albert seconded.  Motion carried unanimously.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 w:rsidP="00A01E7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Expense reimbursement: (Donna) Process for reimbursing Districts for hourly timesheets.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A01E77" w:rsidP="00A01E77">
            <w:pPr>
              <w:pStyle w:val="ListParagraph"/>
              <w:numPr>
                <w:ilvl w:val="0"/>
                <w:numId w:val="1"/>
              </w:numPr>
            </w:pPr>
            <w:r>
              <w:t>Donna reminded Districts to submit paperwork for reimbursement of expenditures, particularly for timesheets and mileage.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E77" w:rsidRDefault="00A01E77" w:rsidP="00A01E77">
            <w:pPr>
              <w:ind w:left="-19"/>
            </w:pPr>
            <w:r>
              <w:t>Calendar:</w:t>
            </w:r>
          </w:p>
          <w:p w:rsidR="00A01E77" w:rsidRDefault="00A01E77" w:rsidP="00A01E77">
            <w:pPr>
              <w:pStyle w:val="ListParagraph"/>
              <w:numPr>
                <w:ilvl w:val="0"/>
                <w:numId w:val="2"/>
              </w:numPr>
            </w:pPr>
            <w:r>
              <w:t>Partner Event</w:t>
            </w:r>
          </w:p>
          <w:p w:rsidR="00D866A4" w:rsidRDefault="004520F2" w:rsidP="00A01E77">
            <w:pPr>
              <w:pStyle w:val="ListParagraph"/>
              <w:numPr>
                <w:ilvl w:val="0"/>
                <w:numId w:val="2"/>
              </w:numPr>
            </w:pPr>
            <w:r>
              <w:t>Meeting schedule</w:t>
            </w:r>
          </w:p>
          <w:p w:rsidR="00D866A4" w:rsidRDefault="004520F2">
            <w:pPr>
              <w:ind w:left="-19"/>
            </w:pPr>
            <w:r>
              <w:t xml:space="preserve"> 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A01E77" w:rsidP="004520F2">
            <w:pPr>
              <w:pStyle w:val="ListParagraph"/>
              <w:numPr>
                <w:ilvl w:val="0"/>
                <w:numId w:val="2"/>
              </w:numPr>
            </w:pPr>
            <w:r>
              <w:t xml:space="preserve">Discussed the need for an event to involve partners in the planning process.  </w:t>
            </w:r>
            <w:r w:rsidRPr="004520F2">
              <w:rPr>
                <w:i/>
              </w:rPr>
              <w:t xml:space="preserve">Decision to invite those on the list from the Kick-Off Event and any other partners currently involved with the programs to a working breakfast where they could provide input into the plan. </w:t>
            </w:r>
            <w:r>
              <w:t xml:space="preserve"> </w:t>
            </w:r>
          </w:p>
          <w:p w:rsidR="00A01E77" w:rsidRDefault="00A01E77" w:rsidP="004520F2">
            <w:pPr>
              <w:pStyle w:val="ListParagraph"/>
              <w:numPr>
                <w:ilvl w:val="0"/>
                <w:numId w:val="2"/>
              </w:numPr>
            </w:pPr>
            <w:r w:rsidRPr="004520F2">
              <w:rPr>
                <w:i/>
              </w:rPr>
              <w:t>Event scheduled for Sept 25 at HLP from 9:00-10:30.</w:t>
            </w:r>
            <w:r>
              <w:t xml:space="preserve"> Additional planning to occur at next meeting.</w:t>
            </w:r>
          </w:p>
        </w:tc>
      </w:tr>
      <w:tr w:rsidR="00D866A4">
        <w:tc>
          <w:tcPr>
            <w:tcW w:w="3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r>
              <w:t>Other issues</w:t>
            </w:r>
            <w:r w:rsidR="00A01E77">
              <w:t>:</w:t>
            </w:r>
          </w:p>
          <w:p w:rsidR="00A01E77" w:rsidRDefault="00A01E77">
            <w:r>
              <w:t>State Call-in (Donna)</w:t>
            </w:r>
          </w:p>
        </w:tc>
        <w:tc>
          <w:tcPr>
            <w:tcW w:w="63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6A4" w:rsidRDefault="004520F2">
            <w:r>
              <w:t xml:space="preserve"> Wanda and Bruce will join the conversation.</w:t>
            </w:r>
          </w:p>
        </w:tc>
      </w:tr>
    </w:tbl>
    <w:p w:rsidR="00D866A4" w:rsidRDefault="004520F2">
      <w:r>
        <w:rPr>
          <w:b/>
        </w:rPr>
        <w:t xml:space="preserve"> </w:t>
      </w:r>
    </w:p>
    <w:p w:rsidR="00D866A4" w:rsidRDefault="004520F2">
      <w:r w:rsidRPr="004520F2">
        <w:rPr>
          <w:b/>
          <w:u w:val="single"/>
        </w:rPr>
        <w:t>NOTE date and time change:</w:t>
      </w:r>
      <w:r>
        <w:rPr>
          <w:b/>
        </w:rPr>
        <w:t xml:space="preserve">  Steering Committee meeting on Thursday, August 21 from 2:00- 4:00 p.m. at Mt. Sac.</w:t>
      </w:r>
    </w:p>
    <w:p w:rsidR="00D866A4" w:rsidRDefault="00D866A4"/>
    <w:sectPr w:rsidR="00D866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B67"/>
    <w:multiLevelType w:val="hybridMultilevel"/>
    <w:tmpl w:val="1F7A110C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>
    <w:nsid w:val="47E906D6"/>
    <w:multiLevelType w:val="hybridMultilevel"/>
    <w:tmpl w:val="BDBC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66A4"/>
    <w:rsid w:val="0036321E"/>
    <w:rsid w:val="00385E52"/>
    <w:rsid w:val="004520F2"/>
    <w:rsid w:val="00A01E77"/>
    <w:rsid w:val="00D866A4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A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A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 Agenda 7.24.14.docx</vt:lpstr>
    </vt:vector>
  </TitlesOfParts>
  <Company>Hewlett-Packard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 Agenda 7.24.14.docx</dc:title>
  <dc:creator>Owner</dc:creator>
  <cp:lastModifiedBy>Owner</cp:lastModifiedBy>
  <cp:revision>2</cp:revision>
  <dcterms:created xsi:type="dcterms:W3CDTF">2014-07-25T16:44:00Z</dcterms:created>
  <dcterms:modified xsi:type="dcterms:W3CDTF">2014-07-25T16:44:00Z</dcterms:modified>
</cp:coreProperties>
</file>